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663" w:type="dxa"/>
        <w:tblInd w:w="-34" w:type="dxa"/>
        <w:tblLayout w:type="autofit"/>
        <w:tblCellMar>
          <w:top w:w="0" w:type="dxa"/>
          <w:left w:w="108" w:type="dxa"/>
          <w:bottom w:w="0" w:type="dxa"/>
          <w:right w:w="108" w:type="dxa"/>
        </w:tblCellMar>
      </w:tblPr>
      <w:tblGrid>
        <w:gridCol w:w="4804"/>
        <w:gridCol w:w="5859"/>
      </w:tblGrid>
      <w:tr w14:paraId="7EA71302">
        <w:tblPrEx>
          <w:tblCellMar>
            <w:top w:w="0" w:type="dxa"/>
            <w:left w:w="108" w:type="dxa"/>
            <w:bottom w:w="0" w:type="dxa"/>
            <w:right w:w="108" w:type="dxa"/>
          </w:tblCellMar>
        </w:tblPrEx>
        <w:tc>
          <w:tcPr>
            <w:tcW w:w="4804" w:type="dxa"/>
            <w:tcBorders>
              <w:top w:val="nil"/>
              <w:left w:val="nil"/>
              <w:bottom w:val="nil"/>
              <w:right w:val="nil"/>
            </w:tcBorders>
          </w:tcPr>
          <w:p w14:paraId="0182B26C">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SỞ GIÁO DỤC VÀ ĐÀO TẠO BÌNH ĐỊNH</w:t>
            </w:r>
          </w:p>
          <w:p w14:paraId="31915596">
            <w:pPr>
              <w:spacing w:after="0" w:line="240" w:lineRule="auto"/>
              <w:jc w:val="center"/>
              <w:rPr>
                <w:rFonts w:ascii="Times New Roman" w:hAnsi="Times New Roman" w:eastAsia="Times New Roman" w:cs="Times New Roman"/>
                <w:b/>
                <w:color w:val="000000"/>
                <w:spacing w:val="-20"/>
                <w:sz w:val="24"/>
                <w:szCs w:val="24"/>
              </w:rPr>
            </w:pPr>
            <w:r>
              <w:rPr>
                <w:rFonts w:ascii="Times New Roman" w:hAnsi="Times New Roman" w:eastAsia="Times New Roman" w:cs="Times New Roman"/>
                <w:b/>
                <w:color w:val="000000"/>
                <w:spacing w:val="-20"/>
                <w:sz w:val="24"/>
                <w:szCs w:val="24"/>
              </w:rPr>
              <w:t>TRƯỜNG THPT SỐ 2 TUY PHƯỚC</w:t>
            </w:r>
          </w:p>
          <w:p w14:paraId="71CDC3C3">
            <w:pPr>
              <w:spacing w:after="0" w:line="240" w:lineRule="auto"/>
              <w:rPr>
                <w:rFonts w:ascii="Times New Roman" w:hAnsi="Times New Roman" w:eastAsia="Times New Roman" w:cs="Times New Roman"/>
                <w:color w:val="000000"/>
                <w:sz w:val="24"/>
                <w:szCs w:val="24"/>
              </w:rPr>
            </w:pPr>
          </w:p>
        </w:tc>
        <w:tc>
          <w:tcPr>
            <w:tcW w:w="5859" w:type="dxa"/>
            <w:tcBorders>
              <w:top w:val="nil"/>
              <w:left w:val="nil"/>
              <w:bottom w:val="nil"/>
              <w:right w:val="nil"/>
            </w:tcBorders>
          </w:tcPr>
          <w:p w14:paraId="49AED36C">
            <w:pPr>
              <w:spacing w:after="0" w:line="240" w:lineRule="auto"/>
              <w:jc w:val="center"/>
              <w:rPr>
                <w:rFonts w:ascii="Times New Roman" w:hAnsi="Times New Roman" w:eastAsia="Times New Roman" w:cs="Times New Roman"/>
                <w:b/>
                <w:color w:val="000000"/>
                <w:spacing w:val="-20"/>
                <w:sz w:val="24"/>
                <w:szCs w:val="24"/>
              </w:rPr>
            </w:pPr>
            <w:r>
              <w:rPr>
                <w:rFonts w:ascii="Times New Roman" w:hAnsi="Times New Roman" w:eastAsia="Times New Roman" w:cs="Times New Roman"/>
                <w:b/>
                <w:color w:val="000000"/>
                <w:spacing w:val="-20"/>
                <w:sz w:val="24"/>
                <w:szCs w:val="24"/>
              </w:rPr>
              <w:t>CỘNG HOÀ XÃ HỘI CHỦ NGHĨA VIỆT NAM</w:t>
            </w:r>
          </w:p>
          <w:p w14:paraId="01245CF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Độc lập - Tự do - Hạnh phúc</w:t>
            </w:r>
          </w:p>
        </w:tc>
      </w:tr>
      <w:tr w14:paraId="6C9DE06B">
        <w:tblPrEx>
          <w:tblCellMar>
            <w:top w:w="0" w:type="dxa"/>
            <w:left w:w="108" w:type="dxa"/>
            <w:bottom w:w="0" w:type="dxa"/>
            <w:right w:w="108" w:type="dxa"/>
          </w:tblCellMar>
        </w:tblPrEx>
        <w:tc>
          <w:tcPr>
            <w:tcW w:w="4804" w:type="dxa"/>
            <w:tcBorders>
              <w:top w:val="nil"/>
              <w:left w:val="nil"/>
              <w:bottom w:val="nil"/>
              <w:right w:val="nil"/>
            </w:tcBorders>
          </w:tcPr>
          <w:p w14:paraId="479C8E0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Số:   </w:t>
            </w:r>
            <w:r>
              <w:rPr>
                <w:rFonts w:hint="default" w:ascii="Times New Roman" w:hAnsi="Times New Roman" w:eastAsia="Times New Roman" w:cs="Times New Roman"/>
                <w:color w:val="000000"/>
                <w:sz w:val="24"/>
                <w:szCs w:val="24"/>
                <w:lang w:val="en-US"/>
              </w:rPr>
              <w:t>12</w:t>
            </w:r>
            <w:r>
              <w:rPr>
                <w:rFonts w:ascii="Times New Roman" w:hAnsi="Times New Roman" w:eastAsia="Times New Roman" w:cs="Times New Roman"/>
                <w:color w:val="000000"/>
                <w:sz w:val="24"/>
                <w:szCs w:val="24"/>
              </w:rPr>
              <w:t>/KH-ĐVHT-TP2</w:t>
            </w:r>
          </w:p>
        </w:tc>
        <w:tc>
          <w:tcPr>
            <w:tcW w:w="5859" w:type="dxa"/>
            <w:tcBorders>
              <w:top w:val="nil"/>
              <w:left w:val="nil"/>
              <w:bottom w:val="nil"/>
              <w:right w:val="nil"/>
            </w:tcBorders>
          </w:tcPr>
          <w:p w14:paraId="0EA11F36">
            <w:pPr>
              <w:spacing w:after="0" w:line="240" w:lineRule="auto"/>
              <w:jc w:val="center"/>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           </w:t>
            </w:r>
            <w:r>
              <w:rPr>
                <w:rFonts w:ascii="Times New Roman" w:hAnsi="Times New Roman" w:eastAsia="Times New Roman" w:cs="Times New Roman"/>
                <w:i/>
                <w:color w:val="000000"/>
                <w:sz w:val="26"/>
                <w:szCs w:val="26"/>
              </w:rPr>
              <w:t>Tuy Phước, ngày 06 tháng 5 năm 2024</w:t>
            </w:r>
          </w:p>
        </w:tc>
      </w:tr>
    </w:tbl>
    <w:p w14:paraId="2A38874E">
      <w:pPr>
        <w:spacing w:after="0" w:line="300" w:lineRule="atLeast"/>
        <w:jc w:val="center"/>
        <w:rPr>
          <w:rFonts w:ascii="Times New Roman" w:hAnsi="Times New Roman" w:eastAsia="Times New Roman" w:cs="Times New Roman"/>
          <w:b/>
          <w:bCs/>
          <w:color w:val="000000"/>
          <w:sz w:val="8"/>
          <w:szCs w:val="8"/>
        </w:rPr>
      </w:pPr>
      <w:r>
        <w:rPr>
          <w:rFonts w:ascii="Times New Roman" w:hAnsi="Times New Roman" w:eastAsia="Times New Roman" w:cs="Times New Roman"/>
          <w:b/>
          <w:bCs/>
          <w:color w:val="000000"/>
          <w:sz w:val="8"/>
          <w:szCs w:val="8"/>
        </w:rPr>
        <w:t xml:space="preserve"> </w:t>
      </w:r>
    </w:p>
    <w:p w14:paraId="3D50E2DE">
      <w:pPr>
        <w:spacing w:after="0" w:line="300" w:lineRule="atLeast"/>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KẾ HOẠCH</w:t>
      </w:r>
    </w:p>
    <w:p w14:paraId="47EC9892">
      <w:pPr>
        <w:spacing w:after="0" w:line="300" w:lineRule="atLeast"/>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Xây dựng đơn vị học tập năm 2024</w:t>
      </w:r>
    </w:p>
    <w:p w14:paraId="363DDBCB">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sz w:val="24"/>
          <w:szCs w:val="24"/>
        </w:rPr>
        <w:drawing>
          <wp:inline distT="0" distB="0" distL="0" distR="0">
            <wp:extent cx="1257935" cy="7620"/>
            <wp:effectExtent l="0" t="0" r="0" b="0"/>
            <wp:docPr id="3" name="Picture 3" descr="C:\Users\Admin\AppData\Local\Temp\ksohtml1207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AppData\Local\Temp\ksohtml12072\wps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57935" cy="7620"/>
                    </a:xfrm>
                    <a:prstGeom prst="rect">
                      <a:avLst/>
                    </a:prstGeom>
                    <a:noFill/>
                    <a:ln>
                      <a:noFill/>
                    </a:ln>
                  </pic:spPr>
                </pic:pic>
              </a:graphicData>
            </a:graphic>
          </wp:inline>
        </w:drawing>
      </w:r>
      <w:r>
        <w:rPr>
          <w:rFonts w:ascii="Times New Roman" w:hAnsi="Times New Roman" w:eastAsia="Times New Roman" w:cs="Times New Roman"/>
          <w:color w:val="000000"/>
          <w:sz w:val="28"/>
          <w:szCs w:val="28"/>
        </w:rPr>
        <w:t xml:space="preserve"> </w:t>
      </w:r>
    </w:p>
    <w:p w14:paraId="0EF3FC3F">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Căn cứ Thông tư số 24/2023/TT-BGDĐT ngày 11/12/2023 của Bộ GDĐT quy định về đánh giá, công nhận đơn vị học tập cấp huyện, tỉnh;</w:t>
      </w:r>
    </w:p>
    <w:p w14:paraId="18C1E7D5">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Căn cứ Công văn số 860/UBND-VX ngày 02/02/2024 của UBND tỉnh Bình Định về việc thực hiện hướng dẫn đánh giá, công nhận "Đơn vị học tập" cấp huyện, tỉnh trên địa bàn tỉnh Bình Định;</w:t>
      </w:r>
      <w:r>
        <w:rPr>
          <w:rFonts w:ascii="Times New Roman" w:hAnsi="Times New Roman" w:eastAsia="Times New Roman" w:cs="Times New Roman"/>
          <w:sz w:val="28"/>
          <w:szCs w:val="28"/>
        </w:rPr>
        <w:t xml:space="preserve"> </w:t>
      </w:r>
    </w:p>
    <w:p w14:paraId="00524054">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Căn cứ Công văn số </w:t>
      </w:r>
      <w:r>
        <w:rPr>
          <w:rFonts w:ascii="Times New Roman" w:hAnsi="Times New Roman" w:eastAsia="Times New Roman" w:cs="Times New Roman"/>
          <w:sz w:val="28"/>
          <w:szCs w:val="28"/>
        </w:rPr>
        <w:t>381/</w:t>
      </w:r>
      <w:r>
        <w:rPr>
          <w:rFonts w:ascii="Times New Roman" w:hAnsi="Times New Roman" w:eastAsia="Times New Roman" w:cs="Times New Roman"/>
          <w:color w:val="000000"/>
          <w:sz w:val="28"/>
          <w:szCs w:val="28"/>
        </w:rPr>
        <w:t>SGDĐT-QLCLGD-GDTX</w:t>
      </w:r>
      <w:r>
        <w:rPr>
          <w:rFonts w:ascii="Times New Roman" w:hAnsi="Times New Roman" w:eastAsia="Times New Roman" w:cs="Times New Roman"/>
          <w:sz w:val="28"/>
          <w:szCs w:val="28"/>
        </w:rPr>
        <w:t xml:space="preserve"> ngày 19/2/2024 của Sở GDĐT Bình Định về việc </w:t>
      </w:r>
      <w:r>
        <w:rPr>
          <w:rFonts w:ascii="Times New Roman" w:hAnsi="Times New Roman" w:eastAsia="Times New Roman" w:cs="Times New Roman"/>
          <w:color w:val="000000"/>
          <w:sz w:val="28"/>
          <w:szCs w:val="28"/>
        </w:rPr>
        <w:t>hướng dẫn thực hiện Quy định về đánh giá, công nhận “Đơn vị học tập” cấp huyện, tỉnh theo Thông tư số 24/2023/TT-BGDĐT ngày 11/12/2023 của Bộ trưởng Bộ Giáo dục và Đào tạo;</w:t>
      </w:r>
    </w:p>
    <w:p w14:paraId="7BCB03C3">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Trường THPT số 2 Tuy Phước ban hành Kế hoạch xây dựng đ</w:t>
      </w:r>
      <w:r>
        <w:rPr>
          <w:rFonts w:ascii="Times New Roman" w:hAnsi="Times New Roman" w:eastAsia="Times New Roman" w:cs="Times New Roman"/>
          <w:sz w:val="28"/>
          <w:szCs w:val="28"/>
        </w:rPr>
        <w:t>ơn vị học tập năm 2024, nội dung cụ thể như sau:</w:t>
      </w:r>
    </w:p>
    <w:p w14:paraId="6288806D">
      <w:pPr>
        <w:spacing w:before="80" w:after="80" w:line="240"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 MỤC ĐÍCH, YÊU CẦU</w:t>
      </w:r>
    </w:p>
    <w:p w14:paraId="3CEA7983">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Tạo cơ hội và điều kiện cho các thành viên trong nhà trường được học tập thường xuyên, học tập suốt đời, xây dựng mẫu hình công dân học tập trong đơn vị, làm nòng cốt trong việc xây dựng các mô hình học tập trong cộng đồng, góp phần thực hiện tốt công tác khuyến học và xây dựng xã hội học tập tại địa phương.</w:t>
      </w:r>
    </w:p>
    <w:p w14:paraId="1696677A">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Xây dựng xã hội học tập dựa trên nền tảng phát triển, đồng thời đẩy mạnh các hoạt động học tập suốt đời trong nhà trường.</w:t>
      </w:r>
    </w:p>
    <w:p w14:paraId="43717739">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Nhà trường cần đảm bảo đầy đủ điều kiện để các thành viên tham gia học tập nâng cao trình độ chuyên môn nghiệp vụ. Nội dung học tập cần đạt tiêu chí phù hợp vị trí việc làm của cán bộ, giáo viên, nhân viên (CBGVNV).</w:t>
      </w:r>
    </w:p>
    <w:p w14:paraId="3A7B57B3">
      <w:pPr>
        <w:spacing w:before="80" w:after="80" w:line="240" w:lineRule="auto"/>
        <w:ind w:firstLine="72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II. </w:t>
      </w:r>
      <w:r>
        <w:rPr>
          <w:rFonts w:ascii="Times New Roman" w:hAnsi="Times New Roman" w:eastAsia="Times New Roman" w:cs="Times New Roman"/>
          <w:b/>
          <w:bCs/>
          <w:color w:val="000000"/>
          <w:sz w:val="28"/>
          <w:szCs w:val="28"/>
        </w:rPr>
        <w:t>NỘI DUNG</w:t>
      </w:r>
    </w:p>
    <w:p w14:paraId="21B7D993">
      <w:pPr>
        <w:spacing w:before="80" w:after="80" w:line="240" w:lineRule="auto"/>
        <w:ind w:firstLine="72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1. Các điều kiện để xây dựng Đơn vị học tập</w:t>
      </w:r>
    </w:p>
    <w:p w14:paraId="6BB30090">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Chỉ tiêu 1: Ban hành kế hoạch hằng năm cho Thành viên trong đơn vị được học tập thường xuyên, tổ chức triển khai, thực hiện kế hoạch.</w:t>
      </w:r>
    </w:p>
    <w:p w14:paraId="0C2CD6B2">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 Chỉ tiêu 2: Thực hiện đầy đủ các chế độ về đào tạo, bồi dưỡng theo quy định hiện hành, có quy định của đơn vị nhằm khuyến khích, động viên thành viên trong đơn vị tích cực học tập. </w:t>
      </w:r>
    </w:p>
    <w:p w14:paraId="2B480B08">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Chỉ tiêu 3: Bố trí đủ kinh phí từ ngân sách nhà nước hằng năm để thực hiện công tác đào tạo, bồi dưỡng đối với thành viên trong đơn vị.</w:t>
      </w:r>
    </w:p>
    <w:p w14:paraId="7D6941D6">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Chỉ tiêu 4: Đơn vị triển khai chuyển đổi số, các thành viên trong đơn vị được trang bị các dụng cụ, thiết bị học tập đáp ứng nhu cầu làm việc và học tập trong bối cảnh chuyển đổi số.</w:t>
      </w:r>
    </w:p>
    <w:p w14:paraId="79BDC579">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 Chỉ tiêu 5: Tham gia các hoạt động phục vụ việc học tập suốt đời cho người dân.</w:t>
      </w:r>
    </w:p>
    <w:p w14:paraId="3315387B">
      <w:pPr>
        <w:spacing w:before="80" w:after="80" w:line="240"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color w:val="000000"/>
          <w:sz w:val="28"/>
          <w:szCs w:val="28"/>
        </w:rPr>
        <w:t xml:space="preserve">2. </w:t>
      </w:r>
      <w:r>
        <w:rPr>
          <w:rFonts w:ascii="Times New Roman" w:hAnsi="Times New Roman" w:eastAsia="Times New Roman" w:cs="Times New Roman"/>
          <w:b/>
          <w:sz w:val="28"/>
          <w:szCs w:val="28"/>
        </w:rPr>
        <w:t>Kết quả học tập của thành viên trong đơn vị</w:t>
      </w:r>
    </w:p>
    <w:p w14:paraId="77491142">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Chỉ tiêu 1: Tối thiểu 90% thành viên trong đơn vị tuân thủ kỷ luật lao động, nội quy làm việc trong đơn vị, có tinh thần đoàn kết, hợp tác, chia sẻ và trao đổi.</w:t>
      </w:r>
    </w:p>
    <w:p w14:paraId="50830E13">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Chỉ tiêu 2: Tối thiểu 90% thành viên trong đơn vị hoàn thành đầy đủ các chương trình học tập, bồi dưỡng theo quy định của nhà nước hoặc của đơn vị và đoàn thể được lãnh đạo đơn vị phê duyệt.</w:t>
      </w:r>
    </w:p>
    <w:p w14:paraId="06314C5C">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Chỉ tiêu 3: Tối thiểu 90% thành viên trong đơn vị được đào tạo, bồi dưỡng và tham gia thực hiện chuyển đổi số trong đơn vị.</w:t>
      </w:r>
    </w:p>
    <w:p w14:paraId="62C68949">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Chỉ tiêu 4: Tối thiểu 50% thành viên trong đơn vị có chứng nhận hoặc chứng chỉ ngoại ngữ hoặc tiếng dân tộc thiểu số đáp ứng yêu cầu công việc hoặc vị trí việc làm (không bao gồm thành viên trong đơn vị là tổ chức kinh tế).</w:t>
      </w:r>
    </w:p>
    <w:p w14:paraId="24626A32">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 Chỉ tiêu 5: Tối thiểu 90% thành viên trong đơn vị đạt danh hiệu “Lao động tiên tiến” trở lên.</w:t>
      </w:r>
    </w:p>
    <w:p w14:paraId="3F7859F4">
      <w:pPr>
        <w:spacing w:before="80" w:after="80" w:line="240" w:lineRule="auto"/>
        <w:ind w:firstLine="720"/>
        <w:rPr>
          <w:rFonts w:ascii="Times New Roman" w:hAnsi="Times New Roman" w:eastAsia="Times New Roman" w:cs="Times New Roman"/>
          <w:b/>
          <w:sz w:val="28"/>
          <w:szCs w:val="28"/>
        </w:rPr>
      </w:pPr>
      <w:r>
        <w:rPr>
          <w:rFonts w:ascii="Times New Roman" w:hAnsi="Times New Roman" w:eastAsia="Times New Roman" w:cs="Times New Roman"/>
          <w:b/>
          <w:sz w:val="28"/>
          <w:szCs w:val="28"/>
        </w:rPr>
        <w:t>3. Tác dụng của việc xây dựng “Đơn vị học tập”</w:t>
      </w:r>
    </w:p>
    <w:p w14:paraId="123C85F8">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Chỉ tiêu 1: Tối thiểu 95% người học đạt danh hiệu “Công dân học tập” theo Quyết định số 324/QĐ-KHVN.</w:t>
      </w:r>
    </w:p>
    <w:p w14:paraId="3490C0B0">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Chỉ tiêu 2: Thực hiện các hoạt động tạo lập môi trường học tập và chia sẻ tri thức với các đơn vị khác.</w:t>
      </w:r>
    </w:p>
    <w:p w14:paraId="1C83F735">
      <w:pPr>
        <w:spacing w:before="80" w:after="8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c) Chỉ tiêu 3: Đạt danh hiệu thi đua từ “Tập thể lao động tiên tiến” trở lên.</w:t>
      </w:r>
    </w:p>
    <w:p w14:paraId="30C2C854">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Chỉ tiêu 4: Đạt mức độ chuyển đổi số của đơn vị ở “mức đáp ứng cơ bản” theo Quyết định số 4725/QĐ-BGDĐT ngày 30 tháng 12 năm 2022 của Bộ trưởng Bộ Giáo dục và Đào tạo.</w:t>
      </w:r>
    </w:p>
    <w:p w14:paraId="2C822883">
      <w:pPr>
        <w:spacing w:before="80" w:after="80" w:line="240" w:lineRule="auto"/>
        <w:ind w:firstLine="720"/>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III. BIỆN PHÁP</w:t>
      </w:r>
    </w:p>
    <w:p w14:paraId="4D594335">
      <w:pPr>
        <w:spacing w:before="80" w:after="80" w:line="240" w:lineRule="auto"/>
        <w:ind w:firstLine="720"/>
        <w:rPr>
          <w:rFonts w:ascii="Times New Roman" w:hAnsi="Times New Roman" w:eastAsia="Times New Roman" w:cs="Times New Roman"/>
          <w:b/>
          <w:color w:val="000000"/>
          <w:sz w:val="28"/>
          <w:szCs w:val="28"/>
        </w:rPr>
      </w:pPr>
      <w:r>
        <w:rPr>
          <w:rFonts w:ascii="Times New Roman" w:hAnsi="Times New Roman" w:eastAsia="Times New Roman" w:cs="Times New Roman"/>
          <w:b/>
          <w:bCs/>
          <w:color w:val="000000"/>
          <w:sz w:val="28"/>
          <w:szCs w:val="28"/>
        </w:rPr>
        <w:t xml:space="preserve">1. </w:t>
      </w:r>
      <w:r>
        <w:rPr>
          <w:rFonts w:ascii="Times New Roman" w:hAnsi="Times New Roman" w:eastAsia="Times New Roman" w:cs="Times New Roman"/>
          <w:b/>
          <w:color w:val="000000"/>
          <w:sz w:val="28"/>
          <w:szCs w:val="28"/>
        </w:rPr>
        <w:t>Nâng cao nhận thức về mục đích, ý nghĩa, vai trò của việc xây dựng xã hội học tập</w:t>
      </w:r>
    </w:p>
    <w:p w14:paraId="3C79DA31">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Tổ chức các hình thức tuyên truyền phong phú trong các buổi họp hội đồng sư phạm nhà trường, sinh hoạt dưới cờ, thông qua hoạt động chuyên môn.</w:t>
      </w:r>
    </w:p>
    <w:p w14:paraId="76FB6604">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Tuyên truyền xây dựng xã hội học tập thông qua phong trào gia đình hiếu học, dòng họ khuyến học, phát động phong trào dơn vị học tập, cộng đồng học tập.</w:t>
      </w:r>
    </w:p>
    <w:p w14:paraId="704B467F">
      <w:pPr>
        <w:spacing w:before="80" w:after="80" w:line="240"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color w:val="000000"/>
          <w:sz w:val="28"/>
          <w:szCs w:val="28"/>
        </w:rPr>
        <w:t>- Tổ chức tuyên dương, khen thưởng các cá nhân có nhiều thành tích trong công tác xây dựng xã hội học tập.</w:t>
      </w:r>
    </w:p>
    <w:p w14:paraId="63462C5B">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color w:val="000000"/>
          <w:sz w:val="28"/>
          <w:szCs w:val="28"/>
        </w:rPr>
        <w:t>Tổ chức hưởng ứng các hoạt động học tập suốt đời tại nhà trường.</w:t>
      </w:r>
    </w:p>
    <w:p w14:paraId="7893B871">
      <w:pPr>
        <w:spacing w:before="80" w:after="80" w:line="240" w:lineRule="auto"/>
        <w:ind w:firstLine="72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 Đổi mới phương pháp dạy học, đổi mới kiểm tra đánh giá trong nhà trường nhằm giáo dục cho học sinh tinh thần hiếu học, khả năng tự học</w:t>
      </w:r>
    </w:p>
    <w:p w14:paraId="435CE370">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Đẩy mạnh các hoạt động của tổ chuyên môn theo hướng nghiên cứu bài dạy, đẩy mạnh ứng dụng CNTT trong dạy học.</w:t>
      </w:r>
    </w:p>
    <w:p w14:paraId="11DDD58F">
      <w:pPr>
        <w:spacing w:before="80" w:after="80" w:line="240" w:lineRule="auto"/>
        <w:ind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Đẩy mạnh hình thức học tập từ xa, học tập qua mạng, duy trì bồi dưỡng thường xuyên tại nhà trường.</w:t>
      </w:r>
    </w:p>
    <w:p w14:paraId="7D19DC77">
      <w:pPr>
        <w:spacing w:before="80" w:after="80" w:line="240" w:lineRule="auto"/>
        <w:ind w:firstLine="72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3. Cán bộ, giáo viên, nhân viên hoàn thành đầy đủ chương trình học tập bồi dưỡng bắt buộc theo quy định của nhà nước</w:t>
      </w:r>
    </w:p>
    <w:p w14:paraId="78AFAB81">
      <w:pPr>
        <w:spacing w:before="80" w:after="80" w:line="240" w:lineRule="auto"/>
        <w:ind w:firstLine="720"/>
        <w:jc w:val="both"/>
        <w:rPr>
          <w:rFonts w:ascii="Times New Roman" w:hAnsi="Times New Roman" w:eastAsia="Times New Roman" w:cs="Times New Roman"/>
          <w:i/>
          <w:color w:val="000000"/>
          <w:sz w:val="28"/>
          <w:szCs w:val="28"/>
        </w:rPr>
      </w:pPr>
      <w:r>
        <w:rPr>
          <w:rFonts w:ascii="Times New Roman" w:hAnsi="Times New Roman" w:eastAsia="Times New Roman" w:cs="Times New Roman"/>
          <w:i/>
          <w:color w:val="000000"/>
          <w:sz w:val="28"/>
          <w:szCs w:val="28"/>
        </w:rPr>
        <w:t>3.1.</w:t>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i/>
          <w:color w:val="000000"/>
          <w:sz w:val="28"/>
          <w:szCs w:val="28"/>
        </w:rPr>
        <w:t xml:space="preserve">Bồi dưỡng lý luận chính trị, quản lý giáo dục </w:t>
      </w:r>
    </w:p>
    <w:p w14:paraId="67C913C8">
      <w:pPr>
        <w:spacing w:before="80" w:after="8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Động viên, khuyến khích, tạo điều kiện để các giáo viên trong nguồn quy hoạch tham gia học tập lớp Trung cấp LLCT, lớp bồi dưỡng quản lý giáo dục để đảm bảo đủ tiêu chuẩn cho việc quy hoạch cán bộ quản lý khi có đủ điều kiện.</w:t>
      </w:r>
    </w:p>
    <w:p w14:paraId="7423BC7B">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3.2. </w:t>
      </w:r>
      <w:r>
        <w:rPr>
          <w:rFonts w:ascii="Times New Roman" w:hAnsi="Times New Roman" w:eastAsia="Times New Roman" w:cs="Times New Roman"/>
          <w:i/>
          <w:color w:val="000000"/>
          <w:sz w:val="28"/>
          <w:szCs w:val="28"/>
        </w:rPr>
        <w:t>Bồi dưỡng thường xuyên</w:t>
      </w:r>
    </w:p>
    <w:p w14:paraId="2BAB5994">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Đảm bảo 100% CBGVNV tham gia bồi dưỡng thường xuyên theo kế hoạch và nội dung quy định của ngành.</w:t>
      </w:r>
    </w:p>
    <w:p w14:paraId="06D9D8F3">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Đảm bảo 100% CBQL, GV được tham gia tập huấn các chuyên đề theo từng môn của Bộ GDĐT, Sở GDĐT, nhà trường tổ chức.</w:t>
      </w:r>
    </w:p>
    <w:p w14:paraId="26EB9203">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color w:val="000000"/>
          <w:sz w:val="28"/>
          <w:szCs w:val="28"/>
        </w:rPr>
        <w:t>- Các tổ, nhóm cá nhân căn cứ vào kế hoạch bồi dưỡng đội ngũ của trường để xây dựng kế hoạch bồi dưỡng thường xuyên cho tổ và cá nhân.</w:t>
      </w:r>
    </w:p>
    <w:p w14:paraId="047DA616">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Tổ chuyên môn cử giáo viên tham dự các lớp tập huấn, cập nhật các kiến thức về pháp luật, chuyên môn; hướng dẫn tự học, thực hành; hệ thống hóa kiến thức, giải đáp thắc mắc, hướng dẫn những nội dung khó đối với giáo viên trong tổ.</w:t>
      </w:r>
    </w:p>
    <w:p w14:paraId="1F4F80E4">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Lãnh đạo nhà trường thường xuyên kiểm tra việc học tập bồi dưỡng của giáo viên để kịp thời nắm tình hình thực hiện công tác bồi dưỡng đội ngũ; lưu các biên bản kiểm tra tiến độ thực hiện kế hoạch bồi dưỡng thường xuyên của các thành viên trong nhà trường.</w:t>
      </w:r>
    </w:p>
    <w:p w14:paraId="6E273E2B">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3.3.  </w:t>
      </w:r>
      <w:r>
        <w:rPr>
          <w:rFonts w:ascii="Times New Roman" w:hAnsi="Times New Roman" w:eastAsia="Times New Roman" w:cs="Times New Roman"/>
          <w:i/>
          <w:color w:val="000000"/>
          <w:sz w:val="28"/>
          <w:szCs w:val="28"/>
        </w:rPr>
        <w:t>Bồi dưỡng Tin học, Ngoại ngữ</w:t>
      </w:r>
    </w:p>
    <w:p w14:paraId="1BA264CE">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100% CBGVNV đạt trình độ Tin học, Ngoại ngữ theo quy định.</w:t>
      </w:r>
    </w:p>
    <w:p w14:paraId="3C26B579">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100% cán bộ quản lí, giáo viên có khả năng sử dụng các phần mềm PowerPoint trong trình chiếu; các phần mềm Zoom; Azota; Google form, Quizz, Class point...trong dạy học online.</w:t>
      </w:r>
    </w:p>
    <w:p w14:paraId="5EC29171">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Tạo điều kiện cho đội ngũ CBGVNV tham gia các lớp bồi dưỡng ứng dụng công nghệ thông tin do các cấp tổ chức.</w:t>
      </w:r>
    </w:p>
    <w:p w14:paraId="7092D2F0">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Động viên đội ngũ giáo viên tích cực tham gia các lớp bồi dưỡng trình độ ngoại ngữ theo khung ngoại ngữ 6 bậc của Châu Âu.</w:t>
      </w:r>
    </w:p>
    <w:p w14:paraId="71BE752C">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3.4. </w:t>
      </w:r>
      <w:r>
        <w:rPr>
          <w:rFonts w:ascii="Times New Roman" w:hAnsi="Times New Roman" w:eastAsia="Times New Roman" w:cs="Times New Roman"/>
          <w:i/>
          <w:color w:val="000000"/>
          <w:sz w:val="28"/>
          <w:szCs w:val="28"/>
        </w:rPr>
        <w:t>Bồi dưỡng phát triển đảng viên</w:t>
      </w:r>
    </w:p>
    <w:p w14:paraId="71609329">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color w:val="000000"/>
          <w:sz w:val="28"/>
          <w:szCs w:val="28"/>
        </w:rPr>
        <w:t>- Xét cử một số giáo viên, nhân viên và học sinh tham gia lớp “Nhận thức về Đảng” khi Huyện ủy có mở lớp.</w:t>
      </w:r>
    </w:p>
    <w:p w14:paraId="4F716816">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 xml:space="preserve">Phấn đấu trong năm </w:t>
      </w:r>
      <w:bookmarkStart w:id="0" w:name="_GoBack"/>
      <w:bookmarkEnd w:id="0"/>
      <w:r>
        <w:rPr>
          <w:rFonts w:ascii="Times New Roman" w:hAnsi="Times New Roman" w:eastAsia="Times New Roman" w:cs="Times New Roman"/>
          <w:color w:val="000000"/>
          <w:sz w:val="28"/>
          <w:szCs w:val="28"/>
        </w:rPr>
        <w:t>kết nạp từ 08 đến 10 đảng viên mới.</w:t>
      </w:r>
    </w:p>
    <w:p w14:paraId="6655DDCE">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Tích cực vận động, động viên, bồi dưỡng, giới thiệu đội ngũ giáo viên, nhân viên đủ tiêu chuẩn với tổ chức cơ sở Đảng xem xét kết nạp.</w:t>
      </w:r>
    </w:p>
    <w:p w14:paraId="1AC476B4">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3.5. </w:t>
      </w:r>
      <w:r>
        <w:rPr>
          <w:rFonts w:ascii="Times New Roman" w:hAnsi="Times New Roman" w:eastAsia="Times New Roman" w:cs="Times New Roman"/>
          <w:i/>
          <w:color w:val="000000"/>
          <w:sz w:val="28"/>
          <w:szCs w:val="28"/>
        </w:rPr>
        <w:t>Bồi dưỡng theo chuẩn chức danh nghề nghiệp giáo viên</w:t>
      </w:r>
    </w:p>
    <w:p w14:paraId="5759C63C">
      <w:pPr>
        <w:widowControl w:val="0"/>
        <w:shd w:val="clear" w:color="auto" w:fill="FFFFFF"/>
        <w:spacing w:before="80" w:after="80" w:line="304" w:lineRule="auto"/>
        <w:ind w:firstLine="74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100% CBGVNV được tham gia các lớp bồi dưỡng theo tiêu chuẩn chức danh nghề nghiệp.</w:t>
      </w:r>
    </w:p>
    <w:p w14:paraId="1C2F24F0">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color w:val="000000"/>
          <w:sz w:val="28"/>
          <w:szCs w:val="28"/>
        </w:rPr>
        <w:t>Tích cực vận động, động viên đội ngũ CBGVNV tham gia các lớp bồi dưỡng theo tiêu chuẩn chức danh nghề nghiệp tương ứng với khung năng lực vị trí việc làm.</w:t>
      </w:r>
    </w:p>
    <w:p w14:paraId="7B7AC3F0">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4. Thực hiện thi đua Danh hiệu “Lao động tiên tiến”</w:t>
      </w:r>
    </w:p>
    <w:p w14:paraId="12591665">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Nhà trường phối hợp với Công đoàn trường phổ biến tiêu chí đánh giá thi đua trong Hội nghị cán bộ viên chức đầu năm học.</w:t>
      </w:r>
    </w:p>
    <w:p w14:paraId="34AB7FAC">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tổ Chuyên môn, tổ Văn phòng đăng ký danh hiệu thi đua của tổ và các thành viên trong tổ.</w:t>
      </w:r>
    </w:p>
    <w:p w14:paraId="23876FF1">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5. Triển khai các biện pháp hỗ trợ người học nhằm nâng cao chất lượng và hiệu quả học tập suốt đời</w:t>
      </w:r>
    </w:p>
    <w:p w14:paraId="76EAD4DA">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Nhà trường có các phương tiện cơ sở vật chất cần thiết phục vụ cho việc học tập suốt đời của các thành viên trong đơn vị, có cơ chế khuyến khích, tạo điều kiện cho CBGVNV học tập.</w:t>
      </w:r>
    </w:p>
    <w:p w14:paraId="0F7444D7">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Vận động CBGVNV chăm lo cho các em học sinh có hoàn cảnh khó khăn của nhà trường trong các dịp lễ, Tết, đầu năm học.</w:t>
      </w:r>
    </w:p>
    <w:p w14:paraId="03A00DAD">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Ban Lãnh đạo nhà trường, Ban chấp hành Công đoàn động viên toàn thể CBGVNV nhà trường thực hiện tốt các tiêu chí thi đua, phấn đấu hoàn thành tốt mọi nhiệm vụ được giao. Tập thể nhà trường phấn đấu các tiêu chí thi đua đạt và vượt chỉ tiêu đề ra so với đầu năm.</w:t>
      </w:r>
    </w:p>
    <w:p w14:paraId="14949555">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Cuối năm học, CBGVNV được đánh giá khách quan, công bằng, công khai.</w:t>
      </w:r>
    </w:p>
    <w:p w14:paraId="4263039B">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IV. KINH PHÍ THỰC HIỆN</w:t>
      </w:r>
    </w:p>
    <w:p w14:paraId="60B9D0DA">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Kinh phí chi cho nội dung xây dựng đơn vị học tập được thực hiện theo Quy chế chi tiêu nội bộ.</w:t>
      </w:r>
    </w:p>
    <w:p w14:paraId="2EA7D85D">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V. TỔ CHỨC THỰC HIỆN</w:t>
      </w:r>
    </w:p>
    <w:p w14:paraId="7057D20E">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1. Lãnh đạo nhà trường</w:t>
      </w:r>
    </w:p>
    <w:p w14:paraId="57AB2A12">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color w:val="000000"/>
          <w:sz w:val="28"/>
          <w:szCs w:val="28"/>
        </w:rPr>
        <w:t>- Ban hành Kế hoạch xây dựng đơn vị học tập năm 2024; Kế hoạch triển khai thực hiện việc đánh giá, xếp loại đơn vị học tập năm 2024, triển khai các văn bản chỉ đạo đến CBGVNV để cùng thực hiện theo các tiêu chí.</w:t>
      </w:r>
    </w:p>
    <w:p w14:paraId="2B91ED53">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color w:val="000000"/>
          <w:sz w:val="28"/>
          <w:szCs w:val="28"/>
        </w:rPr>
        <w:t>- Phổ biến các tiêu chí học tập và tiêu chí đánh giá kết quả học tập hàng năm tới 100% CBGVNV của nhà truờng.</w:t>
      </w:r>
    </w:p>
    <w:p w14:paraId="38B45500">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Hiệu trưởng phê duyệt kế hoạch tự học, tự bồi dưỡng của từng cá nhân.</w:t>
      </w:r>
    </w:p>
    <w:p w14:paraId="3DD13DD9">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Tổ chức cho CBGVNV ký cam kết học tập suốt đời để phát triển bản thân.</w:t>
      </w:r>
    </w:p>
    <w:p w14:paraId="05DA8137">
      <w:pPr>
        <w:widowControl w:val="0"/>
        <w:shd w:val="clear" w:color="auto" w:fill="FFFFFF"/>
        <w:spacing w:before="80" w:after="80" w:line="304" w:lineRule="auto"/>
        <w:ind w:firstLine="74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Thành lập Tổ đánh giá thực hiện việc đánh giá, xếp loại Đơn vị học tập năm 2024, phân công nhiệm vụ từng thành viên. Tổ chức tự đánh giá, xếp loại Đơn vị học tập xong trước 25/12/2024.</w:t>
      </w:r>
    </w:p>
    <w:p w14:paraId="68AB944B">
      <w:pPr>
        <w:widowControl w:val="0"/>
        <w:shd w:val="clear" w:color="auto" w:fill="FFFFFF"/>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Thiết lập đầy đủ hồ sơ theo quy định và nộp về Sở GDĐT Bình Định từ ngày 05/01 - 15/01/2025.</w:t>
      </w:r>
    </w:p>
    <w:p w14:paraId="427E0876">
      <w:pPr>
        <w:widowControl w:val="0"/>
        <w:shd w:val="clear" w:color="auto" w:fill="FFFFFF"/>
        <w:spacing w:before="80" w:after="80" w:line="304" w:lineRule="auto"/>
        <w:ind w:firstLine="740"/>
        <w:jc w:val="both"/>
        <w:rPr>
          <w:rFonts w:ascii="Times New Roman" w:hAnsi="Times New Roman" w:eastAsia="Times New Roman" w:cs="Times New Roman"/>
          <w:b/>
          <w:sz w:val="28"/>
          <w:szCs w:val="28"/>
        </w:rPr>
      </w:pPr>
      <w:r>
        <w:rPr>
          <w:rFonts w:ascii="Times New Roman" w:hAnsi="Times New Roman" w:eastAsia="Times New Roman" w:cs="Times New Roman"/>
          <w:b/>
          <w:color w:val="000000"/>
          <w:sz w:val="28"/>
          <w:szCs w:val="28"/>
        </w:rPr>
        <w:t>2. Cán bộ, giáo viên, nhân viên</w:t>
      </w:r>
    </w:p>
    <w:p w14:paraId="36CFDD8C">
      <w:pPr>
        <w:widowControl w:val="0"/>
        <w:shd w:val="clear" w:color="auto" w:fill="FFFFFF"/>
        <w:spacing w:before="80" w:after="80" w:line="304" w:lineRule="auto"/>
        <w:ind w:firstLine="74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- 100% CBGVNV viết bản Cam kết học tập suốt đời để phát triển bản thân.</w:t>
      </w:r>
    </w:p>
    <w:p w14:paraId="3863C88D">
      <w:pPr>
        <w:widowControl w:val="0"/>
        <w:shd w:val="clear" w:color="auto" w:fill="FFFFFF"/>
        <w:spacing w:before="80" w:after="80" w:line="304" w:lineRule="auto"/>
        <w:ind w:firstLine="74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- 100% CBGVNV xây dựng Kế hoạch tự học, tự bồi dưỡng trình Hiệu trưởng nhà trường phê duyệt. Nghiêm túc thực hiện kế hoạch bản thân đã xây dựng.</w:t>
      </w:r>
    </w:p>
    <w:p w14:paraId="395C492E">
      <w:pPr>
        <w:widowControl w:val="0"/>
        <w:shd w:val="clear" w:color="auto" w:fill="FFFFFF"/>
        <w:spacing w:before="80" w:after="80" w:line="304" w:lineRule="auto"/>
        <w:ind w:firstLine="74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Thực hiện tốt các tiêu chí học tập của bản thân.</w:t>
      </w:r>
    </w:p>
    <w:p w14:paraId="6109E69B">
      <w:pPr>
        <w:widowControl w:val="0"/>
        <w:shd w:val="clear" w:color="auto" w:fill="FFFFFF"/>
        <w:tabs>
          <w:tab w:val="left" w:pos="9425"/>
        </w:tabs>
        <w:spacing w:before="80" w:after="80" w:line="304" w:lineRule="auto"/>
        <w:ind w:firstLine="74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Căn cứ vào kế hoạch nhà trường, của tổ chuyên môn và nhu cầu thực tế của cá nhân, CBGVNV nhà trường tham gia các lớp đào tạo, học tập thường xuyên nhằm nâng cao trình độ lí luận chính trị, chuyên môn, nghiệp vụ đáp ứng nhu cầu đổi mới của ngành GDĐT, đáp ứng khung năng lực vị trí việc làm.</w:t>
      </w:r>
    </w:p>
    <w:p w14:paraId="59757805">
      <w:pPr>
        <w:widowControl w:val="0"/>
        <w:shd w:val="clear" w:color="auto" w:fill="FFFFFF"/>
        <w:tabs>
          <w:tab w:val="left" w:pos="9425"/>
        </w:tabs>
        <w:spacing w:before="80" w:after="80" w:line="304" w:lineRule="auto"/>
        <w:ind w:firstLine="74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Trên đây là Kế hoạch xây dựng đ</w:t>
      </w:r>
      <w:r>
        <w:rPr>
          <w:rFonts w:ascii="Times New Roman" w:hAnsi="Times New Roman" w:eastAsia="Times New Roman" w:cs="Times New Roman"/>
          <w:sz w:val="28"/>
          <w:szCs w:val="28"/>
        </w:rPr>
        <w:t>ơn vị học tập năm 2024</w:t>
      </w:r>
      <w:r>
        <w:rPr>
          <w:rFonts w:ascii="Times New Roman" w:hAnsi="Times New Roman" w:eastAsia="Times New Roman" w:cs="Times New Roman"/>
          <w:color w:val="000000"/>
          <w:sz w:val="28"/>
          <w:szCs w:val="28"/>
        </w:rPr>
        <w:t xml:space="preserve"> của Trường THPT số 2 Tuy Phước. Đề nghị tất cả CBGVNV nhà trường nghiêm túc thực hiện./.</w:t>
      </w:r>
    </w:p>
    <w:p w14:paraId="10EA554B">
      <w:pPr>
        <w:spacing w:before="20" w:after="20" w:line="240" w:lineRule="auto"/>
        <w:ind w:firstLine="720"/>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 </w:t>
      </w:r>
    </w:p>
    <w:tbl>
      <w:tblPr>
        <w:tblStyle w:val="3"/>
        <w:tblW w:w="10364" w:type="dxa"/>
        <w:tblInd w:w="108" w:type="dxa"/>
        <w:tblLayout w:type="autofit"/>
        <w:tblCellMar>
          <w:top w:w="0" w:type="dxa"/>
          <w:left w:w="0" w:type="dxa"/>
          <w:bottom w:w="0" w:type="dxa"/>
          <w:right w:w="0" w:type="dxa"/>
        </w:tblCellMar>
      </w:tblPr>
      <w:tblGrid>
        <w:gridCol w:w="5291"/>
        <w:gridCol w:w="5073"/>
      </w:tblGrid>
      <w:tr w14:paraId="2412D79E">
        <w:tblPrEx>
          <w:tblCellMar>
            <w:top w:w="0" w:type="dxa"/>
            <w:left w:w="0" w:type="dxa"/>
            <w:bottom w:w="0" w:type="dxa"/>
            <w:right w:w="0" w:type="dxa"/>
          </w:tblCellMar>
        </w:tblPrEx>
        <w:tc>
          <w:tcPr>
            <w:tcW w:w="5291" w:type="dxa"/>
            <w:tcBorders>
              <w:top w:val="nil"/>
              <w:left w:val="nil"/>
              <w:bottom w:val="nil"/>
              <w:right w:val="nil"/>
            </w:tcBorders>
            <w:shd w:val="clear" w:color="auto" w:fill="FFFFFF"/>
          </w:tcPr>
          <w:p w14:paraId="66617F0F">
            <w:pPr>
              <w:spacing w:after="0" w:line="300" w:lineRule="atLeast"/>
              <w:jc w:val="both"/>
              <w:rPr>
                <w:rFonts w:ascii="Times New Roman" w:hAnsi="Times New Roman" w:eastAsia="Times New Roman" w:cs="Times New Roman"/>
                <w:b/>
                <w:color w:val="000000"/>
                <w:sz w:val="30"/>
                <w:szCs w:val="30"/>
              </w:rPr>
            </w:pPr>
            <w:r>
              <w:rPr>
                <w:rFonts w:ascii="Times New Roman" w:hAnsi="Times New Roman" w:eastAsia="Times New Roman" w:cs="Times New Roman"/>
                <w:b/>
                <w:i/>
                <w:color w:val="000000"/>
                <w:sz w:val="26"/>
                <w:szCs w:val="26"/>
              </w:rPr>
              <w:t>Nơi nhận:</w:t>
            </w:r>
            <w:r>
              <w:rPr>
                <w:rFonts w:ascii="Times New Roman" w:hAnsi="Times New Roman" w:eastAsia="Times New Roman" w:cs="Times New Roman"/>
                <w:color w:val="000000"/>
                <w:sz w:val="30"/>
                <w:szCs w:val="30"/>
              </w:rPr>
              <w:t> </w:t>
            </w:r>
            <w:r>
              <w:rPr>
                <w:rFonts w:ascii="Times New Roman" w:hAnsi="Times New Roman" w:eastAsia="Times New Roman" w:cs="Times New Roman"/>
                <w:b/>
                <w:color w:val="000000"/>
                <w:sz w:val="30"/>
                <w:szCs w:val="30"/>
              </w:rPr>
              <w:t xml:space="preserve">                                                                  </w:t>
            </w:r>
          </w:p>
          <w:p w14:paraId="5B8AD158">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color w:val="000000"/>
                <w:sz w:val="24"/>
                <w:szCs w:val="24"/>
              </w:rPr>
              <w:t>- Hiệu trưởng</w:t>
            </w:r>
            <w:r>
              <w:rPr>
                <w:rFonts w:ascii="Times New Roman" w:hAnsi="Times New Roman" w:eastAsia="Times New Roman" w:cs="Times New Roman"/>
                <w:i/>
                <w:color w:val="000000"/>
                <w:sz w:val="24"/>
                <w:szCs w:val="24"/>
              </w:rPr>
              <w:t>;</w:t>
            </w:r>
          </w:p>
          <w:p w14:paraId="4653907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softHyphen/>
            </w:r>
            <w:r>
              <w:rPr>
                <w:rFonts w:ascii="Times New Roman" w:hAnsi="Times New Roman" w:eastAsia="Times New Roman" w:cs="Times New Roman"/>
                <w:color w:val="000000"/>
                <w:sz w:val="24"/>
                <w:szCs w:val="24"/>
              </w:rPr>
              <w:t>- Phó Hiệu trưởng;</w:t>
            </w:r>
          </w:p>
          <w:p w14:paraId="6D71F37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Tổ CM, VP, Đoàn; </w:t>
            </w:r>
            <w:r>
              <w:rPr>
                <w:rFonts w:ascii="Times New Roman" w:hAnsi="Times New Roman" w:eastAsia="Times New Roman" w:cs="Times New Roman"/>
                <w:color w:val="000000"/>
                <w:sz w:val="24"/>
                <w:szCs w:val="24"/>
              </w:rPr>
              <w:tab/>
            </w:r>
          </w:p>
          <w:p w14:paraId="5E981B1C">
            <w:pPr>
              <w:spacing w:after="0" w:line="240" w:lineRule="auto"/>
              <w:jc w:val="both"/>
              <w:rPr>
                <w:rFonts w:ascii="Times New Roman" w:hAnsi="Times New Roman" w:eastAsia="Times New Roman" w:cs="Times New Roman"/>
                <w:b/>
                <w:color w:val="000000"/>
                <w:sz w:val="30"/>
                <w:szCs w:val="30"/>
              </w:rPr>
            </w:pPr>
            <w:r>
              <w:rPr>
                <w:rFonts w:ascii="Times New Roman" w:hAnsi="Times New Roman" w:eastAsia="Times New Roman" w:cs="Times New Roman"/>
                <w:color w:val="000000"/>
                <w:sz w:val="24"/>
                <w:szCs w:val="24"/>
              </w:rPr>
              <w:t>- Lưu: VT, hồ sơ Đơn vị học tập.</w:t>
            </w:r>
          </w:p>
        </w:tc>
        <w:tc>
          <w:tcPr>
            <w:tcW w:w="5073" w:type="dxa"/>
            <w:tcBorders>
              <w:top w:val="nil"/>
              <w:left w:val="nil"/>
              <w:bottom w:val="nil"/>
              <w:right w:val="nil"/>
            </w:tcBorders>
            <w:shd w:val="clear" w:color="auto" w:fill="FFFFFF"/>
          </w:tcPr>
          <w:p w14:paraId="45CD7C72">
            <w:pPr>
              <w:spacing w:before="40" w:after="4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KT.HIỆU TRƯỞNG</w:t>
            </w:r>
          </w:p>
          <w:p w14:paraId="16BC6008">
            <w:pPr>
              <w:spacing w:before="40" w:after="4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PHÓ HIỆU TRƯỞNG</w:t>
            </w:r>
          </w:p>
          <w:p w14:paraId="06AF39E6">
            <w:pPr>
              <w:spacing w:before="40" w:after="40" w:line="240" w:lineRule="auto"/>
              <w:jc w:val="center"/>
              <w:rPr>
                <w:rFonts w:ascii="Times New Roman" w:hAnsi="Times New Roman" w:eastAsia="Times New Roman" w:cs="Times New Roman"/>
                <w:b/>
                <w:bCs/>
                <w:color w:val="000000"/>
                <w:sz w:val="28"/>
                <w:szCs w:val="28"/>
              </w:rPr>
            </w:pPr>
          </w:p>
          <w:p w14:paraId="5855DC01">
            <w:pPr>
              <w:spacing w:before="40" w:after="40" w:line="240" w:lineRule="auto"/>
              <w:jc w:val="center"/>
              <w:rPr>
                <w:rFonts w:ascii="Times New Roman" w:hAnsi="Times New Roman" w:eastAsia="Times New Roman" w:cs="Times New Roman"/>
                <w:b/>
                <w:bCs/>
                <w:color w:val="000000"/>
                <w:sz w:val="28"/>
                <w:szCs w:val="28"/>
              </w:rPr>
            </w:pPr>
          </w:p>
          <w:p w14:paraId="1736D198">
            <w:pPr>
              <w:spacing w:before="40" w:after="40" w:line="240" w:lineRule="auto"/>
              <w:jc w:val="center"/>
              <w:rPr>
                <w:rFonts w:ascii="Times New Roman" w:hAnsi="Times New Roman" w:eastAsia="Times New Roman" w:cs="Times New Roman"/>
                <w:b/>
                <w:bCs/>
                <w:color w:val="000000"/>
                <w:sz w:val="28"/>
                <w:szCs w:val="28"/>
              </w:rPr>
            </w:pPr>
          </w:p>
          <w:p w14:paraId="65C81E5F">
            <w:pPr>
              <w:spacing w:before="40" w:after="4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Dương Ngọc Hạnh</w:t>
            </w:r>
          </w:p>
          <w:p w14:paraId="12F2989B">
            <w:pPr>
              <w:spacing w:before="40" w:after="40" w:line="240" w:lineRule="auto"/>
              <w:jc w:val="center"/>
              <w:rPr>
                <w:rFonts w:ascii="Times New Roman" w:hAnsi="Times New Roman" w:eastAsia="Times New Roman" w:cs="Times New Roman"/>
                <w:b/>
                <w:color w:val="000000"/>
                <w:sz w:val="28"/>
                <w:szCs w:val="28"/>
              </w:rPr>
            </w:pPr>
          </w:p>
        </w:tc>
      </w:tr>
    </w:tbl>
    <w:p w14:paraId="67F8FDDC">
      <w:pPr>
        <w:spacing w:after="0" w:line="300" w:lineRule="atLeast"/>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 </w:t>
      </w:r>
    </w:p>
    <w:p w14:paraId="7E06A91A">
      <w:pPr>
        <w:spacing w:after="0"/>
      </w:pPr>
    </w:p>
    <w:sectPr>
      <w:footerReference r:id="rId5" w:type="default"/>
      <w:pgSz w:w="12240" w:h="15840"/>
      <w:pgMar w:top="864" w:right="864" w:bottom="864" w:left="864" w:header="576" w:footer="43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837571"/>
      <w:docPartObj>
        <w:docPartGallery w:val="AutoText"/>
      </w:docPartObj>
    </w:sdtPr>
    <w:sdtContent>
      <w:p w14:paraId="514FD69B">
        <w:pPr>
          <w:pStyle w:val="4"/>
          <w:jc w:val="center"/>
        </w:pPr>
        <w:r>
          <w:fldChar w:fldCharType="begin"/>
        </w:r>
        <w:r>
          <w:instrText xml:space="preserve"> PAGE   \* MERGEFORMAT </w:instrText>
        </w:r>
        <w:r>
          <w:fldChar w:fldCharType="separate"/>
        </w:r>
        <w:r>
          <w:t>5</w:t>
        </w:r>
        <w:r>
          <w:fldChar w:fldCharType="end"/>
        </w:r>
      </w:p>
    </w:sdtContent>
  </w:sdt>
  <w:p w14:paraId="1EFADED6">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80"/>
    <w:rsid w:val="001213D8"/>
    <w:rsid w:val="001F6D8C"/>
    <w:rsid w:val="005E0880"/>
    <w:rsid w:val="006640D4"/>
    <w:rsid w:val="00B529CA"/>
    <w:rsid w:val="00EB6463"/>
    <w:rsid w:val="00ED219A"/>
    <w:rsid w:val="4DE1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spacing w:after="0" w:line="240" w:lineRule="auto"/>
    </w:pPr>
  </w:style>
  <w:style w:type="paragraph" w:styleId="5">
    <w:name w:val="header"/>
    <w:basedOn w:val="1"/>
    <w:link w:val="6"/>
    <w:unhideWhenUsed/>
    <w:uiPriority w:val="99"/>
    <w:pPr>
      <w:tabs>
        <w:tab w:val="center" w:pos="4680"/>
        <w:tab w:val="right" w:pos="9360"/>
      </w:tabs>
      <w:spacing w:after="0" w:line="240" w:lineRule="auto"/>
    </w:pPr>
  </w:style>
  <w:style w:type="character" w:customStyle="1" w:styleId="6">
    <w:name w:val="Header Char"/>
    <w:basedOn w:val="2"/>
    <w:link w:val="5"/>
    <w:uiPriority w:val="99"/>
  </w:style>
  <w:style w:type="character" w:customStyle="1" w:styleId="7">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1484</Words>
  <Characters>8465</Characters>
  <Lines>70</Lines>
  <Paragraphs>19</Paragraphs>
  <TotalTime>32</TotalTime>
  <ScaleCrop>false</ScaleCrop>
  <LinksUpToDate>false</LinksUpToDate>
  <CharactersWithSpaces>9930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2025-03-28T02:14:00Z</dcterms:created>
  <dc:creator>Admin</dc:creator>
  <cp:lastModifiedBy>Ngọc Hạnh Dương</cp:lastModifiedBy>
  <dcterms:modified xsi:type="dcterms:W3CDTF">2025-04-19T04:05:58Z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B8318753A0F544E28BC9A58B95F14F15_12</vt:lpwstr>
  </property>
</Properties>
</file>